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557F8264" w:rsidR="00EB7C14" w:rsidRPr="00FE21CB" w:rsidRDefault="00FA40FC" w:rsidP="00FA40FC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 w:rsidR="00883978">
        <w:rPr>
          <w:u w:val="single"/>
        </w:rPr>
        <w:t>1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712A2F">
        <w:t xml:space="preserve"> 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7F50955F" w14:textId="1CB3CE6B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</w:p>
    <w:p w14:paraId="6E22EAC1" w14:textId="022550F3" w:rsidR="00FB5392" w:rsidRDefault="00FB5392" w:rsidP="00FB5392">
      <w:pPr>
        <w:spacing w:after="240"/>
        <w:rPr>
          <w:rFonts w:eastAsia="Arial Unicode MS"/>
          <w:u w:val="single"/>
        </w:rPr>
      </w:pPr>
      <w:r w:rsidRPr="00AD3870">
        <w:rPr>
          <w:rFonts w:eastAsia="Arial Unicode MS"/>
          <w:u w:val="single"/>
        </w:rPr>
        <w:t>Le contenu du CRT ne peut nullement se borner à des renvois au mémoire technique</w:t>
      </w:r>
      <w:r>
        <w:rPr>
          <w:rFonts w:eastAsia="Arial Unicode MS"/>
          <w:u w:val="single"/>
        </w:rPr>
        <w:t xml:space="preserve"> ou à des documents annexes</w:t>
      </w:r>
      <w:r w:rsidRPr="00AD3870">
        <w:rPr>
          <w:rFonts w:eastAsia="Arial Unicode MS"/>
          <w:u w:val="single"/>
        </w:rPr>
        <w:t xml:space="preserve">. </w:t>
      </w:r>
    </w:p>
    <w:p w14:paraId="2EB718CD" w14:textId="034FEF83" w:rsidR="00FB5392" w:rsidRPr="00AD3870" w:rsidRDefault="00FB5392" w:rsidP="00FB5392">
      <w:pPr>
        <w:spacing w:after="240"/>
        <w:rPr>
          <w:rFonts w:eastAsia="Arial Unicode MS"/>
          <w:u w:val="single"/>
        </w:rPr>
      </w:pPr>
      <w:r w:rsidRPr="00AD3870">
        <w:rPr>
          <w:rFonts w:eastAsia="Arial Unicode MS"/>
          <w:u w:val="single"/>
        </w:rPr>
        <w:t xml:space="preserve">Des renvois sont autorisés mais ces derniers doivent être </w:t>
      </w:r>
      <w:r>
        <w:rPr>
          <w:rFonts w:eastAsia="Arial Unicode MS"/>
          <w:u w:val="single"/>
        </w:rPr>
        <w:t>limités</w:t>
      </w:r>
      <w:r w:rsidRPr="00AD3870">
        <w:rPr>
          <w:rFonts w:eastAsia="Arial Unicode MS"/>
          <w:u w:val="single"/>
        </w:rPr>
        <w:t xml:space="preserve"> et ils doivent préciser la ou les page(s) et le(s) paragraphe(s) du mémoire technique </w:t>
      </w:r>
      <w:r>
        <w:rPr>
          <w:rFonts w:eastAsia="Arial Unicode MS"/>
          <w:u w:val="single"/>
        </w:rPr>
        <w:t xml:space="preserve">et/ou documents annexes </w:t>
      </w:r>
      <w:r w:rsidRPr="00AD3870">
        <w:rPr>
          <w:rFonts w:eastAsia="Arial Unicode MS"/>
          <w:u w:val="single"/>
        </w:rPr>
        <w:t xml:space="preserve">concerné(s). </w:t>
      </w:r>
    </w:p>
    <w:p w14:paraId="140A2513" w14:textId="59A9BCC0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293D0763" w:rsidR="00EB7C14" w:rsidRDefault="00EB7C14" w:rsidP="00EB7C14">
      <w:pPr>
        <w:rPr>
          <w:rFonts w:eastAsia="Arial Unicode MS"/>
        </w:rPr>
      </w:pPr>
    </w:p>
    <w:p w14:paraId="2551272D" w14:textId="3558A464" w:rsidR="00BC31BE" w:rsidRDefault="00BC31BE" w:rsidP="00EB7C14">
      <w:pPr>
        <w:rPr>
          <w:rFonts w:eastAsia="Arial Unicode MS"/>
        </w:rPr>
      </w:pPr>
    </w:p>
    <w:p w14:paraId="24A76F44" w14:textId="46643C80" w:rsidR="00BC31BE" w:rsidRDefault="00BC31BE" w:rsidP="00EB7C14">
      <w:pPr>
        <w:rPr>
          <w:rFonts w:eastAsia="Arial Unicode MS"/>
        </w:rPr>
      </w:pPr>
    </w:p>
    <w:p w14:paraId="0E71C834" w14:textId="3E1A343B" w:rsidR="00BC31BE" w:rsidRDefault="00BC31BE" w:rsidP="00EB7C14">
      <w:pPr>
        <w:rPr>
          <w:rFonts w:eastAsia="Arial Unicode MS"/>
        </w:rPr>
      </w:pPr>
    </w:p>
    <w:p w14:paraId="0E527DE6" w14:textId="0DB49874" w:rsidR="00BC31BE" w:rsidRDefault="00BC31BE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24D964F9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50743" w:rsidRPr="00F50743">
        <w:rPr>
          <w:rFonts w:eastAsia="Arial Unicode MS"/>
          <w:b/>
          <w:bCs/>
          <w:sz w:val="22"/>
          <w:szCs w:val="22"/>
          <w:u w:val="single"/>
        </w:rPr>
        <w:t>5</w:t>
      </w:r>
      <w:r w:rsidR="004D7BA6">
        <w:rPr>
          <w:rFonts w:eastAsia="Arial Unicode MS"/>
          <w:b/>
          <w:bCs/>
          <w:sz w:val="22"/>
          <w:szCs w:val="22"/>
          <w:u w:val="single"/>
        </w:rPr>
        <w:t>0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1C9259C4" w:rsidR="001A3687" w:rsidRPr="004D7BA6" w:rsidRDefault="004D7BA6" w:rsidP="001A3687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 w:rsidRPr="004D7BA6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Sous-critère a. Moyens humains mis à disposition pour l’exécution des prestations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4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D83940">
        <w:trPr>
          <w:trHeight w:val="1374"/>
          <w:jc w:val="center"/>
        </w:trPr>
        <w:tc>
          <w:tcPr>
            <w:tcW w:w="5665" w:type="dxa"/>
            <w:vAlign w:val="center"/>
          </w:tcPr>
          <w:p w14:paraId="464CB42E" w14:textId="067298F1" w:rsidR="00C256BC" w:rsidRDefault="00C256BC" w:rsidP="00C256BC">
            <w:r>
              <w:t xml:space="preserve">Le candidat décrit l’équipe proposée pour la réalisation des prestations (chef de projet, ARC, etc.) et précise le rôle, la fonction et le </w:t>
            </w:r>
            <w:r w:rsidR="00DE0E1B">
              <w:t>temps</w:t>
            </w:r>
            <w:r w:rsidR="00272C2D">
              <w:t xml:space="preserve"> d’affectation </w:t>
            </w:r>
            <w:r>
              <w:t>de chacun</w:t>
            </w:r>
            <w:r w:rsidR="00DE0E1B">
              <w:t xml:space="preserve"> dans le projet.</w:t>
            </w:r>
          </w:p>
          <w:p w14:paraId="06036607" w14:textId="77777777" w:rsidR="00D83940" w:rsidRDefault="00D83940" w:rsidP="004D7BA6"/>
          <w:p w14:paraId="03FC6ECE" w14:textId="60053F0E" w:rsidR="00D83940" w:rsidRPr="00D83940" w:rsidRDefault="00C256BC" w:rsidP="004D7BA6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Le candidat </w:t>
            </w:r>
            <w:r w:rsidRPr="00D83940">
              <w:rPr>
                <w:i/>
                <w:iCs/>
              </w:rPr>
              <w:t>fournit le CV de chacun des membres.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23AA297C" w:rsidR="001A3687" w:rsidRPr="004D7BA6" w:rsidRDefault="004D7BA6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4D7BA6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b. Qualité des procédures et de la méthodologie </w:t>
      </w:r>
      <w:r w:rsidR="00FB539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mises en place </w:t>
      </w:r>
      <w:r w:rsidRPr="004D7BA6">
        <w:rPr>
          <w:rFonts w:eastAsia="Arial Unicode MS"/>
          <w:b/>
          <w:bCs/>
          <w:i/>
          <w:iCs/>
          <w:sz w:val="20"/>
          <w:szCs w:val="20"/>
          <w:u w:val="single"/>
        </w:rPr>
        <w:t>pour la réalisation des prestations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(4</w:t>
      </w:r>
      <w:r w:rsidR="00DE3E03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337AD4">
        <w:trPr>
          <w:trHeight w:val="2098"/>
        </w:trPr>
        <w:tc>
          <w:tcPr>
            <w:tcW w:w="5807" w:type="dxa"/>
            <w:vAlign w:val="center"/>
          </w:tcPr>
          <w:p w14:paraId="6BC9D313" w14:textId="203B807D" w:rsidR="00AD161B" w:rsidRDefault="00AD161B" w:rsidP="00616A39">
            <w:pPr>
              <w:pStyle w:val="RedaliaNormal"/>
              <w:spacing w:before="0"/>
              <w:rPr>
                <w:szCs w:val="18"/>
              </w:rPr>
            </w:pPr>
            <w:r>
              <w:t>Le candidat précise l</w:t>
            </w:r>
            <w:r w:rsidR="004D7BA6">
              <w:t xml:space="preserve">es procédures et méthodologie </w:t>
            </w:r>
            <w:r w:rsidR="00616A39" w:rsidRPr="0054765C">
              <w:rPr>
                <w:szCs w:val="18"/>
              </w:rPr>
              <w:t>proposée</w:t>
            </w:r>
            <w:r>
              <w:rPr>
                <w:szCs w:val="18"/>
              </w:rPr>
              <w:t xml:space="preserve">s pour les éléments suivants : </w:t>
            </w:r>
          </w:p>
          <w:p w14:paraId="0A3925D5" w14:textId="786D6CD5" w:rsidR="001A3687" w:rsidRDefault="00D83940" w:rsidP="005E70B4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Mise en place et organisation des réunions ;</w:t>
            </w:r>
          </w:p>
          <w:p w14:paraId="7D139D41" w14:textId="579EE875" w:rsidR="00D83940" w:rsidRDefault="00D83940" w:rsidP="005E70B4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P</w:t>
            </w:r>
            <w:r w:rsidRPr="00EE487A">
              <w:t>réparation des visites de monitoring (délais, informations traitées, interaction entre parties, etc.)</w:t>
            </w:r>
            <w:r w:rsidR="00FB5392">
              <w:t>. Cela s’entend hors potentielles procédures imposées par le Promoteur</w:t>
            </w:r>
            <w:r>
              <w:t> ;</w:t>
            </w:r>
          </w:p>
          <w:p w14:paraId="57C6318B" w14:textId="77777777" w:rsidR="00D83940" w:rsidRDefault="00D83940" w:rsidP="005E70B4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Tr</w:t>
            </w:r>
            <w:r w:rsidRPr="00EE487A">
              <w:t xml:space="preserve">aitement des non-conformités et des suspicions des </w:t>
            </w:r>
            <w:proofErr w:type="spellStart"/>
            <w:r w:rsidRPr="00EE487A">
              <w:t>serious</w:t>
            </w:r>
            <w:proofErr w:type="spellEnd"/>
            <w:r w:rsidRPr="00EE487A">
              <w:t xml:space="preserve"> </w:t>
            </w:r>
            <w:proofErr w:type="spellStart"/>
            <w:r w:rsidRPr="00EE487A">
              <w:t>breaches</w:t>
            </w:r>
            <w:proofErr w:type="spellEnd"/>
            <w:r>
              <w:t> ;</w:t>
            </w:r>
          </w:p>
          <w:p w14:paraId="2A6CD5BC" w14:textId="5038825E" w:rsidR="00D83940" w:rsidRPr="00AD161B" w:rsidRDefault="00D83940" w:rsidP="005E70B4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 xml:space="preserve">Traitement des EI. 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514CCC3D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78B12F3E" w14:textId="44A03FC4" w:rsidR="004D7BA6" w:rsidRPr="004D7BA6" w:rsidRDefault="004D7BA6" w:rsidP="004D7BA6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4D7BA6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c. Qualité des livrables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C256BC">
        <w:rPr>
          <w:rFonts w:eastAsia="Arial Unicode MS"/>
          <w:b/>
          <w:bCs/>
          <w:i/>
          <w:iCs/>
          <w:sz w:val="20"/>
          <w:szCs w:val="20"/>
          <w:u w:val="single"/>
        </w:rPr>
        <w:t>20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3911E03F" w14:textId="77777777" w:rsidR="004D7BA6" w:rsidRDefault="004D7BA6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4D7BA6" w14:paraId="5005FDB0" w14:textId="77777777" w:rsidTr="00E9084D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7DD4A8ED" w14:textId="77777777" w:rsidR="004D7BA6" w:rsidRPr="00D219DF" w:rsidRDefault="004D7BA6" w:rsidP="00E9084D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62617658" w14:textId="77777777" w:rsidR="004D7BA6" w:rsidRPr="00D219DF" w:rsidRDefault="004D7BA6" w:rsidP="00E9084D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4D7BA6" w14:paraId="2E407F71" w14:textId="77777777" w:rsidTr="00D83940">
        <w:trPr>
          <w:trHeight w:val="1293"/>
        </w:trPr>
        <w:tc>
          <w:tcPr>
            <w:tcW w:w="5807" w:type="dxa"/>
            <w:vAlign w:val="center"/>
          </w:tcPr>
          <w:p w14:paraId="10E21C1C" w14:textId="3DE316B1" w:rsidR="004D7BA6" w:rsidRDefault="004D7BA6" w:rsidP="00E9084D">
            <w:pPr>
              <w:pStyle w:val="RedaliaNormal"/>
              <w:spacing w:before="0"/>
              <w:rPr>
                <w:szCs w:val="18"/>
              </w:rPr>
            </w:pPr>
            <w:r>
              <w:t>Le candidat fournit les modèles de livrables suivants</w:t>
            </w:r>
            <w:r>
              <w:rPr>
                <w:szCs w:val="18"/>
              </w:rPr>
              <w:t xml:space="preserve"> : </w:t>
            </w:r>
          </w:p>
          <w:p w14:paraId="04059219" w14:textId="77777777" w:rsidR="00C256BC" w:rsidRDefault="00C256BC" w:rsidP="00C256BC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Rapport de monitoring pour la mise en place ;</w:t>
            </w:r>
          </w:p>
          <w:p w14:paraId="64C268ED" w14:textId="77777777" w:rsidR="00C256BC" w:rsidRDefault="00C256BC" w:rsidP="00C256BC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Rapport de visite de monitoring ;</w:t>
            </w:r>
          </w:p>
          <w:p w14:paraId="11402D82" w14:textId="77777777" w:rsidR="00C256BC" w:rsidRDefault="00C256BC" w:rsidP="00C256BC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Rapport de cloître de site ;</w:t>
            </w:r>
          </w:p>
          <w:p w14:paraId="661E8CCC" w14:textId="77777777" w:rsidR="00C256BC" w:rsidRPr="00952792" w:rsidRDefault="00C256BC" w:rsidP="00C256BC">
            <w:pPr>
              <w:pStyle w:val="RedaliaNormal"/>
              <w:spacing w:before="0"/>
              <w:ind w:left="720"/>
              <w:rPr>
                <w:i/>
                <w:iCs/>
              </w:rPr>
            </w:pPr>
            <w:r w:rsidRPr="00952792">
              <w:rPr>
                <w:i/>
                <w:iCs/>
              </w:rPr>
              <w:t xml:space="preserve">(La trame de ces rapports ne peut être celle imposée par des </w:t>
            </w:r>
            <w:r>
              <w:rPr>
                <w:i/>
                <w:iCs/>
              </w:rPr>
              <w:t>P</w:t>
            </w:r>
            <w:r w:rsidRPr="00952792">
              <w:rPr>
                <w:i/>
                <w:iCs/>
              </w:rPr>
              <w:t>romoteurs mais des trames internes au candidat).</w:t>
            </w:r>
          </w:p>
          <w:p w14:paraId="4D5D2979" w14:textId="2C3D4955" w:rsidR="00D83940" w:rsidRPr="00AD161B" w:rsidRDefault="00D83940" w:rsidP="00E9084D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Comptes rendus de réunion</w:t>
            </w:r>
            <w:r w:rsidR="00FB5392">
              <w:t>.</w:t>
            </w:r>
          </w:p>
        </w:tc>
        <w:tc>
          <w:tcPr>
            <w:tcW w:w="8647" w:type="dxa"/>
            <w:vAlign w:val="center"/>
          </w:tcPr>
          <w:p w14:paraId="0A0CF5DB" w14:textId="77777777" w:rsidR="004D7BA6" w:rsidRDefault="004D7BA6" w:rsidP="00E9084D">
            <w:pPr>
              <w:jc w:val="left"/>
              <w:rPr>
                <w:rFonts w:eastAsia="Arial Unicode MS"/>
              </w:rPr>
            </w:pPr>
          </w:p>
        </w:tc>
      </w:tr>
    </w:tbl>
    <w:p w14:paraId="5BDD6F5E" w14:textId="7481F7F1" w:rsidR="004D7BA6" w:rsidRDefault="004D7BA6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  <w:sectPr w:rsidR="004D7BA6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25900351" w14:textId="25BCED04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 w:rsidR="004D7BA6">
        <w:rPr>
          <w:rFonts w:eastAsia="Arial Unicode MS"/>
          <w:b/>
          <w:bCs/>
          <w:sz w:val="22"/>
          <w:szCs w:val="22"/>
          <w:u w:val="single"/>
        </w:rPr>
        <w:t>Qualité durable de l’offre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(5%)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702703C6" w:rsidR="00F50743" w:rsidRPr="00F50743" w:rsidRDefault="004D7BA6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 w:rsidRPr="004D7BA6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Sous-critère a. Démarche</w:t>
      </w:r>
      <w:r w:rsidR="00C256BC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s</w:t>
      </w:r>
      <w:r w:rsidRPr="004D7BA6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environnementale</w:t>
      </w:r>
      <w:r w:rsidR="00C256BC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s</w:t>
      </w:r>
      <w:r w:rsidRPr="004D7BA6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mises en œuvre dans le cadre de l'exécution des prestations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F50743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5</w:t>
      </w:r>
      <w:r w:rsidR="00F50743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D83940">
        <w:trPr>
          <w:trHeight w:val="804"/>
          <w:jc w:val="center"/>
        </w:trPr>
        <w:tc>
          <w:tcPr>
            <w:tcW w:w="5665" w:type="dxa"/>
            <w:vAlign w:val="center"/>
          </w:tcPr>
          <w:p w14:paraId="2D3D201B" w14:textId="7DEDB2B5" w:rsidR="00F50743" w:rsidRPr="00AD161B" w:rsidRDefault="004D7BA6" w:rsidP="004D7BA6">
            <w:pPr>
              <w:pStyle w:val="RedaliaNormal"/>
              <w:spacing w:before="0"/>
            </w:pPr>
            <w:r>
              <w:rPr>
                <w:rFonts w:eastAsia="Times New Roman"/>
                <w:color w:val="000000"/>
                <w:szCs w:val="18"/>
              </w:rPr>
              <w:t>Les m</w:t>
            </w:r>
            <w:r w:rsidRPr="002B07EE">
              <w:rPr>
                <w:rFonts w:eastAsia="Times New Roman"/>
                <w:color w:val="000000"/>
                <w:szCs w:val="18"/>
              </w:rPr>
              <w:t>oyens et mode</w:t>
            </w:r>
            <w:r>
              <w:rPr>
                <w:rFonts w:eastAsia="Times New Roman"/>
                <w:color w:val="000000"/>
                <w:szCs w:val="18"/>
              </w:rPr>
              <w:t>s</w:t>
            </w:r>
            <w:r w:rsidRPr="002B07EE">
              <w:rPr>
                <w:rFonts w:eastAsia="Times New Roman"/>
                <w:color w:val="000000"/>
                <w:szCs w:val="18"/>
              </w:rPr>
              <w:t xml:space="preserve"> de déplacement privilégiés pour le déplacement du personnel</w:t>
            </w: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6677522B" w:rsidR="00F50743" w:rsidRPr="004D7BA6" w:rsidRDefault="004D7BA6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4D7BA6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>Sous-critère b. Démarche</w:t>
      </w:r>
      <w:r w:rsidR="00C256BC">
        <w:rPr>
          <w:rFonts w:eastAsia="Arial Unicode MS"/>
          <w:b/>
          <w:bCs/>
          <w:i/>
          <w:iCs/>
          <w:sz w:val="20"/>
          <w:szCs w:val="20"/>
          <w:u w:val="single"/>
        </w:rPr>
        <w:t>s</w:t>
      </w:r>
      <w:r w:rsidRPr="004D7BA6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sociale</w:t>
      </w:r>
      <w:r w:rsidR="00C256BC">
        <w:rPr>
          <w:rFonts w:eastAsia="Arial Unicode MS"/>
          <w:b/>
          <w:bCs/>
          <w:i/>
          <w:iCs/>
          <w:sz w:val="20"/>
          <w:szCs w:val="20"/>
          <w:u w:val="single"/>
        </w:rPr>
        <w:t>s</w:t>
      </w:r>
      <w:r w:rsidRPr="004D7BA6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mises en œuvre dans le cadre de l'exécution des prestations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F50743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="00F50743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F50743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="00F50743" w:rsidRPr="004D7BA6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680E6862" w:rsidR="00F50743" w:rsidRPr="00AD161B" w:rsidRDefault="00CC15AA" w:rsidP="00CC15AA">
            <w:pPr>
              <w:pStyle w:val="RedaliaNormal"/>
              <w:spacing w:before="0"/>
            </w:pPr>
            <w:r>
              <w:t xml:space="preserve">Le type de contrats liant le candidat au personnel réalisant les prestations (CDI, CDD, </w:t>
            </w:r>
            <w:r w:rsidR="004D7BA6">
              <w:t xml:space="preserve">free-lance, </w:t>
            </w:r>
            <w:r>
              <w:t>etc.)</w:t>
            </w:r>
          </w:p>
        </w:tc>
        <w:tc>
          <w:tcPr>
            <w:tcW w:w="8647" w:type="dxa"/>
            <w:vAlign w:val="center"/>
          </w:tcPr>
          <w:p w14:paraId="5962C9CA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3E199DF9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77CE402E" w14:textId="3E81260A" w:rsidR="00D83940" w:rsidRDefault="00D839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7B9D14E3" w14:textId="54373EB3" w:rsidR="00D83940" w:rsidRDefault="00D839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666D4B24" w14:textId="09E8966C" w:rsidR="00D83940" w:rsidRDefault="00D839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3ADF67C1" w14:textId="279C2BA2" w:rsidR="00D83940" w:rsidRDefault="00D839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2D42BB7F" w14:textId="741FC236" w:rsidR="00D83940" w:rsidRDefault="00D839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016A91F9" w14:textId="77777777" w:rsidR="00D83940" w:rsidRDefault="00D839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68048252" w:rsidR="00EB7C14" w:rsidRPr="00892D25" w:rsidRDefault="004D7BA6" w:rsidP="00EB7C14">
          <w:pPr>
            <w:pStyle w:val="Pieddepage"/>
            <w:jc w:val="center"/>
          </w:pPr>
          <w:r w:rsidRPr="00892D25">
            <w:t xml:space="preserve">Consultation n° </w:t>
          </w:r>
          <w:r>
            <w:t>25.093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478519BC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337AD4">
            <w:t>2</w:t>
          </w:r>
        </w:p>
      </w:tc>
      <w:tc>
        <w:tcPr>
          <w:tcW w:w="11057" w:type="dxa"/>
          <w:vAlign w:val="center"/>
        </w:tcPr>
        <w:p w14:paraId="29A95295" w14:textId="29D5E498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4D7BA6">
            <w:t>2</w:t>
          </w:r>
          <w:r w:rsidR="00FB5392">
            <w:t>4</w:t>
          </w:r>
          <w:r w:rsidR="00F427FF">
            <w:t>/0</w:t>
          </w:r>
          <w:r w:rsidR="004D7BA6">
            <w:t>7</w:t>
          </w:r>
          <w:r w:rsidR="00F427FF">
            <w:t>/2025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7D171B39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>
            <w:t>2</w:t>
          </w:r>
          <w:r w:rsidR="00A8744D">
            <w:t>5.0</w:t>
          </w:r>
          <w:r w:rsidR="004D7BA6">
            <w:t>93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77777777" w:rsidR="008A023E" w:rsidRPr="00892D25" w:rsidRDefault="008A023E" w:rsidP="008A023E">
          <w:pPr>
            <w:pStyle w:val="Pieddepage"/>
            <w:jc w:val="center"/>
          </w:pPr>
          <w:r>
            <w:t>Annexe 2</w:t>
          </w:r>
        </w:p>
      </w:tc>
      <w:tc>
        <w:tcPr>
          <w:tcW w:w="11057" w:type="dxa"/>
          <w:vAlign w:val="center"/>
        </w:tcPr>
        <w:p w14:paraId="198A354A" w14:textId="27668B66" w:rsidR="008A023E" w:rsidRPr="00892D25" w:rsidRDefault="004D7BA6" w:rsidP="008A023E">
          <w:pPr>
            <w:pStyle w:val="Pieddepage"/>
            <w:jc w:val="center"/>
          </w:pPr>
          <w:r w:rsidRPr="00892D25">
            <w:t xml:space="preserve">Dernière mise à jour du : </w:t>
          </w:r>
          <w:r>
            <w:t>2</w:t>
          </w:r>
          <w:r w:rsidR="00272C2D">
            <w:t>4</w:t>
          </w:r>
          <w:r>
            <w:t>/07/2025</w:t>
          </w:r>
        </w:p>
      </w:tc>
      <w:tc>
        <w:tcPr>
          <w:tcW w:w="1559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329AB"/>
    <w:rsid w:val="00190439"/>
    <w:rsid w:val="001944F6"/>
    <w:rsid w:val="001A2D7E"/>
    <w:rsid w:val="001A3687"/>
    <w:rsid w:val="00200887"/>
    <w:rsid w:val="00272C2D"/>
    <w:rsid w:val="002811E4"/>
    <w:rsid w:val="002B2883"/>
    <w:rsid w:val="00327204"/>
    <w:rsid w:val="00337AD4"/>
    <w:rsid w:val="00352FE4"/>
    <w:rsid w:val="003579B3"/>
    <w:rsid w:val="00361A5E"/>
    <w:rsid w:val="0037007F"/>
    <w:rsid w:val="003F337F"/>
    <w:rsid w:val="004C6184"/>
    <w:rsid w:val="004D7BA6"/>
    <w:rsid w:val="00512446"/>
    <w:rsid w:val="005B3C25"/>
    <w:rsid w:val="005E70B4"/>
    <w:rsid w:val="00616A39"/>
    <w:rsid w:val="00634E8A"/>
    <w:rsid w:val="006A39A5"/>
    <w:rsid w:val="006A7156"/>
    <w:rsid w:val="006F390A"/>
    <w:rsid w:val="00712A2F"/>
    <w:rsid w:val="007264D9"/>
    <w:rsid w:val="007343AD"/>
    <w:rsid w:val="00741700"/>
    <w:rsid w:val="007C75BB"/>
    <w:rsid w:val="007D106F"/>
    <w:rsid w:val="007D4B55"/>
    <w:rsid w:val="00800DBE"/>
    <w:rsid w:val="00815F5A"/>
    <w:rsid w:val="008259BA"/>
    <w:rsid w:val="00883978"/>
    <w:rsid w:val="00896EE7"/>
    <w:rsid w:val="008A023E"/>
    <w:rsid w:val="008C5DB4"/>
    <w:rsid w:val="008D4FAE"/>
    <w:rsid w:val="008F37FE"/>
    <w:rsid w:val="00996590"/>
    <w:rsid w:val="009C0BA2"/>
    <w:rsid w:val="00A8744D"/>
    <w:rsid w:val="00AD161B"/>
    <w:rsid w:val="00B549BC"/>
    <w:rsid w:val="00BB5140"/>
    <w:rsid w:val="00BB5340"/>
    <w:rsid w:val="00BC31BE"/>
    <w:rsid w:val="00BD0D6F"/>
    <w:rsid w:val="00BF78A3"/>
    <w:rsid w:val="00C05D06"/>
    <w:rsid w:val="00C15918"/>
    <w:rsid w:val="00C256BC"/>
    <w:rsid w:val="00C457A1"/>
    <w:rsid w:val="00C9104C"/>
    <w:rsid w:val="00CC15AA"/>
    <w:rsid w:val="00CE6198"/>
    <w:rsid w:val="00CF57CD"/>
    <w:rsid w:val="00D07AF2"/>
    <w:rsid w:val="00D34E7F"/>
    <w:rsid w:val="00D75237"/>
    <w:rsid w:val="00D83940"/>
    <w:rsid w:val="00DA61EB"/>
    <w:rsid w:val="00DE0E1B"/>
    <w:rsid w:val="00DE3E03"/>
    <w:rsid w:val="00E86835"/>
    <w:rsid w:val="00E9689D"/>
    <w:rsid w:val="00EA08BF"/>
    <w:rsid w:val="00EB7C14"/>
    <w:rsid w:val="00EE5FE4"/>
    <w:rsid w:val="00F22E8A"/>
    <w:rsid w:val="00F427FF"/>
    <w:rsid w:val="00F50743"/>
    <w:rsid w:val="00FA40FC"/>
    <w:rsid w:val="00FB5392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DANIS-VALENTE Aurore</cp:lastModifiedBy>
  <cp:revision>50</cp:revision>
  <cp:lastPrinted>2025-07-30T07:42:00Z</cp:lastPrinted>
  <dcterms:created xsi:type="dcterms:W3CDTF">2024-02-27T14:13:00Z</dcterms:created>
  <dcterms:modified xsi:type="dcterms:W3CDTF">2025-07-30T12:17:00Z</dcterms:modified>
</cp:coreProperties>
</file>